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08" w:rsidRPr="00E54F98" w:rsidRDefault="00E54F98" w:rsidP="00E54F98">
      <w:pPr>
        <w:spacing w:before="120" w:line="240" w:lineRule="auto"/>
        <w:rPr>
          <w:color w:val="5F497A" w:themeColor="accent4" w:themeShade="BF"/>
          <w:sz w:val="16"/>
        </w:rPr>
      </w:pPr>
      <w:r w:rsidRPr="00E54F98">
        <w:rPr>
          <w:color w:val="5F497A" w:themeColor="accent4" w:themeShade="BF"/>
          <w:sz w:val="16"/>
        </w:rPr>
        <w:fldChar w:fldCharType="begin"/>
      </w:r>
      <w:r w:rsidRPr="00E54F98">
        <w:rPr>
          <w:color w:val="5F497A" w:themeColor="accent4" w:themeShade="BF"/>
          <w:sz w:val="16"/>
        </w:rPr>
        <w:instrText xml:space="preserve"> HYPERLINK "http://www.binasss.sa.cr/adolescencia/RESILENCIA.htm" </w:instrText>
      </w:r>
      <w:r w:rsidRPr="00E54F98">
        <w:rPr>
          <w:color w:val="5F497A" w:themeColor="accent4" w:themeShade="BF"/>
          <w:sz w:val="16"/>
        </w:rPr>
        <w:fldChar w:fldCharType="separate"/>
      </w:r>
      <w:r w:rsidRPr="00E54F98">
        <w:rPr>
          <w:rStyle w:val="Hipervnculo"/>
          <w:color w:val="5F497A" w:themeColor="accent4" w:themeShade="BF"/>
          <w:sz w:val="16"/>
        </w:rPr>
        <w:t>http://www.binasss.sa.cr/adolescencia/RESILENCIA.htm</w:t>
      </w:r>
      <w:r w:rsidRPr="00E54F98">
        <w:rPr>
          <w:color w:val="5F497A" w:themeColor="accent4" w:themeShade="BF"/>
          <w:sz w:val="16"/>
        </w:rPr>
        <w:fldChar w:fldCharType="end"/>
      </w:r>
      <w:r>
        <w:rPr>
          <w:color w:val="5F497A" w:themeColor="accent4" w:themeShade="BF"/>
          <w:sz w:val="16"/>
        </w:rPr>
        <w:t xml:space="preserve"> </w:t>
      </w:r>
    </w:p>
    <w:p w:rsidR="00E54F98" w:rsidRPr="00E54F98" w:rsidRDefault="00E54F98" w:rsidP="00E54F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es-CO"/>
        </w:rPr>
      </w:pPr>
      <w:r w:rsidRPr="00E54F98">
        <w:rPr>
          <w:rFonts w:ascii="Arial" w:eastAsia="Times New Roman" w:hAnsi="Arial" w:cs="Arial"/>
          <w:b/>
          <w:bCs/>
          <w:color w:val="5F497A" w:themeColor="accent4" w:themeShade="BF"/>
          <w:sz w:val="24"/>
          <w:szCs w:val="24"/>
          <w:lang w:eastAsia="es-CO"/>
        </w:rPr>
        <w:t>RESILENCIA Y DESARROLLO HUMANO</w:t>
      </w:r>
    </w:p>
    <w:p w:rsidR="00E54F98" w:rsidRPr="00E54F98" w:rsidRDefault="00E54F98" w:rsidP="00E54F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5F497A" w:themeColor="accent4" w:themeShade="BF"/>
          <w:sz w:val="16"/>
          <w:szCs w:val="24"/>
          <w:lang w:eastAsia="es-CO"/>
        </w:rPr>
      </w:pPr>
      <w:r w:rsidRPr="00E54F98">
        <w:rPr>
          <w:rFonts w:ascii="Arial" w:eastAsia="Times New Roman" w:hAnsi="Arial" w:cs="Arial"/>
          <w:bCs/>
          <w:color w:val="5F497A" w:themeColor="accent4" w:themeShade="BF"/>
          <w:sz w:val="16"/>
          <w:szCs w:val="24"/>
          <w:lang w:eastAsia="es-CO"/>
        </w:rPr>
        <w:t>DR. SOLUN DONAS BURAK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Hoy estamos reunidos en esta sala personas de diversas partes del mundo, que tenemos en común, además de nuestro interés en mejorar las condiciones de vida y bienestar de niños, niñas y adolescentes, un optimismo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resiliente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Estoy seguro que somos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concientes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que vivimos un momento histórico en el mundo, en el cual, más allá de las guerras, de las supercarreteras informáticas, de la realidad virtual, y de la globalización, tenemos a nuestro lado, cada día, un mayor número de niños, niñas y adolescentes que se gestan, nacen, viven y mueren en la pobreza, el analfabetismo, el desempleo y la violencia; o sea, en condiciones de adversidad psicosocial severa.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El concepto de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resiliencia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no es nuevo en la historia. En la Biblia, Job, se sobrepone a la pérdida de todos sus bienes materiales; la adolescente Ana Frank, logra continuar su desarrollo adolescente aislada del mundo, durante la guerra nazi, hasta que la asesinan.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Los pueblos en su sabiduría histórica lo han simbolizado en ciertas frases como: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5F497A" w:themeColor="accent4" w:themeShade="BF"/>
          <w:sz w:val="20"/>
        </w:rPr>
      </w:pPr>
      <w:r w:rsidRPr="00E54F98">
        <w:rPr>
          <w:rFonts w:ascii="Arial" w:hAnsi="Arial" w:cs="Arial"/>
          <w:color w:val="5F497A" w:themeColor="accent4" w:themeShade="BF"/>
          <w:sz w:val="20"/>
        </w:rPr>
        <w:t>Hacer de tripas corazón</w:t>
      </w:r>
      <w:r w:rsidRPr="00E54F98">
        <w:rPr>
          <w:color w:val="5F497A" w:themeColor="accent4" w:themeShade="BF"/>
          <w:sz w:val="20"/>
        </w:rPr>
        <w:t xml:space="preserve"> </w:t>
      </w:r>
    </w:p>
    <w:p w:rsidR="00E54F98" w:rsidRPr="00E54F98" w:rsidRDefault="00E54F98" w:rsidP="00E54F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5F497A" w:themeColor="accent4" w:themeShade="BF"/>
          <w:sz w:val="20"/>
        </w:rPr>
      </w:pPr>
      <w:r w:rsidRPr="00E54F98">
        <w:rPr>
          <w:rFonts w:ascii="Arial" w:hAnsi="Arial" w:cs="Arial"/>
          <w:color w:val="5F497A" w:themeColor="accent4" w:themeShade="BF"/>
          <w:sz w:val="20"/>
        </w:rPr>
        <w:t>No hay mal que por bien no venga</w:t>
      </w:r>
      <w:r w:rsidRPr="00E54F98">
        <w:rPr>
          <w:color w:val="5F497A" w:themeColor="accent4" w:themeShade="BF"/>
          <w:sz w:val="20"/>
        </w:rPr>
        <w:t xml:space="preserve"> </w:t>
      </w:r>
    </w:p>
    <w:p w:rsidR="00E54F98" w:rsidRPr="00E54F98" w:rsidRDefault="00E54F98" w:rsidP="00E54F9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5F497A" w:themeColor="accent4" w:themeShade="BF"/>
          <w:sz w:val="20"/>
        </w:rPr>
      </w:pPr>
      <w:r w:rsidRPr="00E54F98">
        <w:rPr>
          <w:rFonts w:ascii="Arial" w:hAnsi="Arial" w:cs="Arial"/>
          <w:color w:val="5F497A" w:themeColor="accent4" w:themeShade="BF"/>
          <w:sz w:val="20"/>
        </w:rPr>
        <w:t>Sacar fuerzas de flaqueza</w:t>
      </w:r>
      <w:r w:rsidRPr="00E54F98">
        <w:rPr>
          <w:color w:val="5F497A" w:themeColor="accent4" w:themeShade="BF"/>
          <w:sz w:val="20"/>
        </w:rPr>
        <w:t xml:space="preserve"> </w:t>
      </w:r>
    </w:p>
    <w:p w:rsidR="00E54F98" w:rsidRPr="00E54F98" w:rsidRDefault="00E54F98" w:rsidP="00E54F98">
      <w:pPr>
        <w:spacing w:before="120" w:after="0" w:line="240" w:lineRule="auto"/>
        <w:jc w:val="both"/>
        <w:rPr>
          <w:color w:val="5F497A" w:themeColor="accent4" w:themeShade="BF"/>
          <w:sz w:val="20"/>
        </w:rPr>
      </w:pPr>
      <w:r w:rsidRPr="00E54F98">
        <w:rPr>
          <w:rFonts w:ascii="Arial" w:hAnsi="Arial" w:cs="Arial"/>
          <w:color w:val="5F497A" w:themeColor="accent4" w:themeShade="BF"/>
          <w:sz w:val="20"/>
        </w:rPr>
        <w:t xml:space="preserve">Y las diversas religiones apuestan a la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</w:rPr>
        <w:t>resiliencia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</w:rPr>
        <w:t xml:space="preserve"> de los creyentes cuando prometen que: ¨de los pobres, será el reino de los cielos¨.</w:t>
      </w:r>
      <w:r w:rsidRPr="00E54F98">
        <w:rPr>
          <w:color w:val="5F497A" w:themeColor="accent4" w:themeShade="BF"/>
          <w:sz w:val="20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Diversos autores, durante la década de los 70 publican observaciones señalando la variabilidad de respuestas (en su desarrollo psicosocial) de niños y niñas expuestos a experiencias adversas de diversa índole, tanto individuales, familiares o de su comunidad. Observan que un cierto grupo de niños y adolescentes logran sobreponerse a esas situaciones adversas, sin sufrir secuelas psicosociales graves y se refieren a ellos como ¨invulnerables¨.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A este fenómeno observado, Michael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Rutter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en 1978, lo denomina ¨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resilencia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¨, (anglicismo por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resilence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o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resiliency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) cuyo significado es: resistencia de los cuerpos a los choques: recuperar; ajustar.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Este aporte de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Rutter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trae a la comunidad científica, ¨la esperanza de una prevención satisfactoria¨, o ¨algo de esperanza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realista¨o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¨promesa optimista¨, según escriben él mismo y otros autores.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Promesa, porque este fenómeno psicológico complejo que existe latente, (</w:t>
      </w:r>
      <w:proofErr w:type="gram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¿ En</w:t>
      </w:r>
      <w:proofErr w:type="gram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todos los seres humanos?) puede ser estimulado y lograr que los niños y jóvenes (y los adultos y las familias y las comunidades: caso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ejemplarízante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: el pueblo judío), sobrevivan y se sobrepongan (pasiva o activamente) al medio adverso.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El estímulo debe ser mantenido por cierto tiempo (¿meses, años?) y la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resiliencia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medida ya que estamos frente a un proceso psicológico que deben mantenerse por muchos años, sino toda la vida.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El esfuerzo (o inversión social) que debe realizarse es grande (si lo aplicamos a la enorme población en condiciones de adversidad) y los logros (en términos de impacto) no bien conocidos aún.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Desde el punto de vista moral y social quedan aún varias preguntas: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1. ¿Será suficiente lograr que el niño/niña sobreviva fortaleciendo su resistencia a la destrucción o será necesario conducirles a crear la capacidad de construir una fuerza vital positiva pese a las circunstancias difíciles</w:t>
      </w:r>
      <w:proofErr w:type="gram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?.</w:t>
      </w:r>
      <w:proofErr w:type="gramEnd"/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2. ¿cuál será nuestra posición ética si la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resiliencia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conduce a una sobrevivencia por medios ilegales: por ejemplo robar o vender drogas</w:t>
      </w:r>
      <w:proofErr w:type="gram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?.</w:t>
      </w:r>
      <w:proofErr w:type="gram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Los autores señalan que la supervivencia debe ser por medios socialmente aceptables.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3. Desarrollar la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resiliencia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en el individuo no implica necesariamente eliminar las condiciones adversas en la que la persona ha vivido, vive y probablemente vivirá y se hace necesario crear ¨algunas¨ posibilidades de supervivencia socialmente aceptable. </w:t>
      </w:r>
      <w:proofErr w:type="gram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¿ Estamos</w:t>
      </w:r>
      <w:proofErr w:type="gram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en capacidad de hacerlo?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lastRenderedPageBreak/>
        <w:t xml:space="preserve">4. Desarrollar la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resiliencia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en el individuo no implica necesariamente desarrollar todas sus potencialidades genéticas y psicosociales.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De estas preguntas derivan las consideraciones sobre desarrollo humano y social.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  <w:r w:rsidRPr="00E54F98">
        <w:rPr>
          <w:color w:val="5F497A" w:themeColor="accent4" w:themeShade="BF"/>
          <w:sz w:val="20"/>
          <w:szCs w:val="22"/>
        </w:rPr>
        <w:br/>
      </w: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Entendemos como desarrollo humano, la capacidad de expresar las potencialidades genéticas, biológicas y sociales que el ser humano posee, (afectividad, inteligencia, creatividad, etc.), apoyado en condiciones favorables desde punto de vista biológico, educativo, cultural, económico y social.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La expresión de este potencial humano ha generado los bienes físicos, culturales, intelectuales, tecnológicos, etc. que por acúmulo sucesivo a lo largo de la historia de la humanidad, han producido nuestras culturas.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Nuestro conocimiento del ser humano, nos muestra que no hemos logrado, que ni siquiera una mínima parte de ese potencial se haya podido desarrollar y expresar, a lo largo de la historia, incluyendo nuestro presente.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¿No será éste un momento para replantear la necesidad de evitar (o por menos reducir en forma muy importante) esta tremenda pérdida de creatividad humana tanto de aquellos que viven, crecen y se desarrollan en circunstancias adversas, como aquellos que viven, crecen y se desarrollan en condiciones menos adversas?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¿No será éste el momento de replantear nuevas utopías que significan una política social que brinde educación, empleo, salud y bienestar para todos?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Una política social que conlleva grandes inversiones, que reduzca y elimine los tugurios, que brinde una atención primaria de calidad para la infancia y adolescencia desde la concepción, que incremente el nivel educativo y la calidad de la educación, que genere empleos adecuadamente renumerados, que permitan desarrollar y expresar nuestra amplia capacidad creadora, etc.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Desarrollar la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resiliencia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en un paliativo para algunos de nuestros niños y niñas adolescentes ante la carencia de una política social más justa. El enfoque de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resiliencia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podría llevar a centrar focos específicos de esta política social pero nunca podrá sustituirla como señala Stefan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Vanistendael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, en un documento publicado por la Oficina Internacional Católica de la Infancia</w:t>
      </w:r>
      <w:hyperlink r:id="rId8" w:anchor="2." w:history="1">
        <w:r w:rsidRPr="00E54F98">
          <w:rPr>
            <w:rStyle w:val="Hipervnculo"/>
            <w:rFonts w:ascii="Arial" w:hAnsi="Arial" w:cs="Arial"/>
            <w:bCs/>
            <w:color w:val="5F497A" w:themeColor="accent4" w:themeShade="BF"/>
            <w:sz w:val="20"/>
            <w:szCs w:val="22"/>
            <w:vertAlign w:val="superscript"/>
          </w:rPr>
          <w:t>2</w:t>
        </w:r>
      </w:hyperlink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. En la misma comenta para nosotros los interesados en la infancia y adolescencia; el enfoque de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resiliencia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nos ayuda a distanciarnos: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Default="00E54F98" w:rsidP="00E54F98">
      <w:pPr>
        <w:pStyle w:val="NormalWeb"/>
        <w:spacing w:before="0" w:beforeAutospacing="0" w:after="0" w:after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a)</w:t>
      </w:r>
      <w:r>
        <w:rPr>
          <w:rFonts w:ascii="Arial" w:hAnsi="Arial" w:cs="Arial"/>
          <w:color w:val="5F497A" w:themeColor="accent4" w:themeShade="BF"/>
          <w:sz w:val="20"/>
          <w:szCs w:val="22"/>
        </w:rPr>
        <w:t xml:space="preserve"> </w:t>
      </w: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del desánimo, en cuanto realismo sin esperanza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Default="00E54F98" w:rsidP="00E54F98">
      <w:pPr>
        <w:pStyle w:val="NormalWeb"/>
        <w:spacing w:before="0" w:beforeAutospacing="0" w:after="0" w:after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b)</w:t>
      </w:r>
      <w:r>
        <w:rPr>
          <w:rFonts w:ascii="Arial" w:hAnsi="Arial" w:cs="Arial"/>
          <w:color w:val="5F497A" w:themeColor="accent4" w:themeShade="BF"/>
          <w:sz w:val="20"/>
          <w:szCs w:val="22"/>
        </w:rPr>
        <w:t xml:space="preserve"> </w:t>
      </w: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del cinismo, incapaz de ver el rostro positivo de la realidad.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0" w:beforeAutospacing="0" w:after="0" w:after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c)</w:t>
      </w:r>
      <w:r>
        <w:rPr>
          <w:rFonts w:ascii="Arial" w:hAnsi="Arial" w:cs="Arial"/>
          <w:color w:val="5F497A" w:themeColor="accent4" w:themeShade="BF"/>
          <w:sz w:val="20"/>
          <w:szCs w:val="22"/>
        </w:rPr>
        <w:t xml:space="preserve"> </w:t>
      </w: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de ilusiones poco realistas.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Obviamente, no concuerdo con estas últimas aseveraciones desde mi punto de vista ético y social, porque implica aceptar que las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deprivaciones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y grandes adversidades son ¨normales en la vida humana¨ y que no podemos y debemos eliminarlas o reducirlas ostensiblemente.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Hace unos meses, un colega, me refería que ante la ¨incapacidad social¨ de reducir la pobreza y la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deprivación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social y sus efectos adversos en las sociedades desarrolladas, invertir en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resiliencia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es más barato y seguramente se logrará a mediano plazo una reducción de algunos de los efectos adversos delincuencia, prostitución, violencia, drogadicción, pero queda la gran deuda pendiente: el desarrollo humano y la justicia social.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En suma: la pregunta sería </w:t>
      </w:r>
      <w:proofErr w:type="gram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¿ desarrollo</w:t>
      </w:r>
      <w:proofErr w:type="gram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humano y social o enfoque de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resiliencia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?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Mi respuesta es: busquemos y trabajemos por el desarrollo humano de nuestra infancia y juventud. Demos mayor educación, mejores servicios de salud, más y mejores empleos, más paz social y más afecto. Además fortalezcamos la </w:t>
      </w:r>
      <w:proofErr w:type="spellStart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resiliencia</w:t>
      </w:r>
      <w:proofErr w:type="spellEnd"/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 xml:space="preserve"> en los vulnerables.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Si no prevenimos la vulnerabilidad, el número de niños y adolescentes en riesgo y dañados seguirá aumentando, y nuestro esfuerzo será siquiera suficiente para poder intentar su recuperación individual y social.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E54F98" w:rsidRDefault="00E54F98" w:rsidP="00E54F98">
      <w:pPr>
        <w:pStyle w:val="NormalWeb"/>
        <w:spacing w:before="120" w:beforeAutospacing="0"/>
        <w:jc w:val="both"/>
        <w:rPr>
          <w:color w:val="5F497A" w:themeColor="accent4" w:themeShade="BF"/>
          <w:sz w:val="20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Y si no logramos recuperarlos ¿quedaremos a la espera de otra esperanza más realista para actuar?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</w:p>
    <w:p w:rsidR="00E54F98" w:rsidRPr="003B70DE" w:rsidRDefault="00E54F98" w:rsidP="00E54F98">
      <w:pPr>
        <w:pStyle w:val="NormalWeb"/>
        <w:spacing w:before="120" w:beforeAutospacing="0"/>
        <w:jc w:val="both"/>
        <w:rPr>
          <w:rFonts w:ascii="Arial" w:hAnsi="Arial" w:cs="Arial"/>
          <w:i/>
          <w:color w:val="5F497A" w:themeColor="accent4" w:themeShade="BF"/>
          <w:sz w:val="16"/>
          <w:szCs w:val="22"/>
        </w:rPr>
      </w:pPr>
      <w:r w:rsidRPr="00E54F98">
        <w:rPr>
          <w:rFonts w:ascii="Arial" w:hAnsi="Arial" w:cs="Arial"/>
          <w:color w:val="5F497A" w:themeColor="accent4" w:themeShade="BF"/>
          <w:sz w:val="20"/>
          <w:szCs w:val="22"/>
        </w:rPr>
        <w:t>Muchas gracias.</w:t>
      </w:r>
      <w:r w:rsidRPr="00E54F98">
        <w:rPr>
          <w:color w:val="5F497A" w:themeColor="accent4" w:themeShade="BF"/>
          <w:sz w:val="20"/>
          <w:szCs w:val="22"/>
        </w:rPr>
        <w:t xml:space="preserve"> </w:t>
      </w:r>
      <w:r w:rsidR="003B70DE" w:rsidRPr="003B70DE">
        <w:rPr>
          <w:rFonts w:ascii="Arial" w:hAnsi="Arial" w:cs="Arial"/>
          <w:i/>
          <w:color w:val="5F497A" w:themeColor="accent4" w:themeShade="BF"/>
          <w:sz w:val="16"/>
          <w:szCs w:val="22"/>
        </w:rPr>
        <w:t>(</w:t>
      </w:r>
      <w:proofErr w:type="gramStart"/>
      <w:r w:rsidR="003B70DE" w:rsidRPr="003B70DE">
        <w:rPr>
          <w:rFonts w:ascii="Arial" w:hAnsi="Arial" w:cs="Arial"/>
          <w:i/>
          <w:color w:val="5F497A" w:themeColor="accent4" w:themeShade="BF"/>
          <w:sz w:val="16"/>
          <w:szCs w:val="22"/>
        </w:rPr>
        <w:t>sigue</w:t>
      </w:r>
      <w:proofErr w:type="gramEnd"/>
      <w:r w:rsidR="003B70DE" w:rsidRPr="003B70DE">
        <w:rPr>
          <w:rFonts w:ascii="Arial" w:hAnsi="Arial" w:cs="Arial"/>
          <w:i/>
          <w:color w:val="5F497A" w:themeColor="accent4" w:themeShade="BF"/>
          <w:sz w:val="16"/>
          <w:szCs w:val="22"/>
        </w:rPr>
        <w:t xml:space="preserve"> cuestionario)</w:t>
      </w:r>
    </w:p>
    <w:p w:rsidR="003B70DE" w:rsidRPr="003B70DE" w:rsidRDefault="003B70DE" w:rsidP="003B70DE">
      <w:pPr>
        <w:pStyle w:val="NormalWeb"/>
        <w:spacing w:before="120" w:beforeAutospacing="0"/>
        <w:jc w:val="center"/>
        <w:rPr>
          <w:rFonts w:ascii="Arial" w:hAnsi="Arial" w:cs="Arial"/>
          <w:b/>
          <w:color w:val="5F497A" w:themeColor="accent4" w:themeShade="BF"/>
          <w:sz w:val="20"/>
          <w:szCs w:val="22"/>
        </w:rPr>
      </w:pPr>
      <w:r w:rsidRPr="003B70DE">
        <w:rPr>
          <w:rFonts w:ascii="Arial" w:hAnsi="Arial" w:cs="Arial"/>
          <w:b/>
          <w:color w:val="5F497A" w:themeColor="accent4" w:themeShade="BF"/>
          <w:sz w:val="20"/>
          <w:szCs w:val="22"/>
        </w:rPr>
        <w:lastRenderedPageBreak/>
        <w:t>CUESTIONARIO</w:t>
      </w:r>
    </w:p>
    <w:p w:rsidR="003B70DE" w:rsidRDefault="003B70DE" w:rsidP="003B70DE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FF0066"/>
          <w:sz w:val="20"/>
          <w:szCs w:val="20"/>
        </w:rPr>
      </w:pPr>
      <w:r>
        <w:rPr>
          <w:rFonts w:ascii="Arial" w:hAnsi="Arial" w:cs="Arial"/>
          <w:color w:val="FF0066"/>
          <w:sz w:val="20"/>
          <w:szCs w:val="20"/>
        </w:rPr>
        <w:t>S</w:t>
      </w:r>
      <w:r w:rsidRPr="003B70DE">
        <w:rPr>
          <w:rFonts w:ascii="Arial" w:hAnsi="Arial" w:cs="Arial"/>
          <w:color w:val="FF0066"/>
          <w:sz w:val="20"/>
          <w:szCs w:val="20"/>
        </w:rPr>
        <w:t>erá suficiente lograr que el niño sobreviva fortaleciendo su resistencia a la destrucción</w:t>
      </w:r>
      <w:r>
        <w:rPr>
          <w:rFonts w:ascii="Arial" w:hAnsi="Arial" w:cs="Arial"/>
          <w:color w:val="FF0066"/>
          <w:sz w:val="20"/>
          <w:szCs w:val="20"/>
        </w:rPr>
        <w:t>,</w:t>
      </w:r>
      <w:bookmarkStart w:id="0" w:name="_GoBack"/>
      <w:bookmarkEnd w:id="0"/>
      <w:r w:rsidRPr="003B70DE">
        <w:rPr>
          <w:rFonts w:ascii="Arial" w:hAnsi="Arial" w:cs="Arial"/>
          <w:color w:val="FF0066"/>
          <w:sz w:val="20"/>
          <w:szCs w:val="20"/>
        </w:rPr>
        <w:t xml:space="preserve"> o será necesario conducirles a crear la capacidad de construir una fuerza vital positiva pese a las circunstancias difíciles</w:t>
      </w:r>
      <w:proofErr w:type="gramStart"/>
      <w:r w:rsidRPr="003B70DE">
        <w:rPr>
          <w:rFonts w:ascii="Arial" w:hAnsi="Arial" w:cs="Arial"/>
          <w:color w:val="FF0066"/>
          <w:sz w:val="20"/>
          <w:szCs w:val="20"/>
        </w:rPr>
        <w:t>?</w:t>
      </w:r>
      <w:proofErr w:type="gramEnd"/>
    </w:p>
    <w:p w:rsidR="003B70DE" w:rsidRPr="003B70DE" w:rsidRDefault="003B70DE" w:rsidP="003B70DE">
      <w:pPr>
        <w:spacing w:after="0" w:line="240" w:lineRule="auto"/>
        <w:rPr>
          <w:rFonts w:ascii="Arial" w:hAnsi="Arial" w:cs="Arial"/>
          <w:color w:val="FF0066"/>
          <w:sz w:val="20"/>
          <w:szCs w:val="20"/>
        </w:rPr>
      </w:pPr>
    </w:p>
    <w:p w:rsidR="003B70DE" w:rsidRPr="003B70DE" w:rsidRDefault="003B70DE" w:rsidP="003B70DE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FF0066"/>
          <w:sz w:val="20"/>
          <w:szCs w:val="20"/>
        </w:rPr>
      </w:pPr>
      <w:r w:rsidRPr="003B70DE">
        <w:rPr>
          <w:rFonts w:ascii="Arial" w:hAnsi="Arial" w:cs="Arial"/>
          <w:color w:val="FF0066"/>
          <w:sz w:val="20"/>
          <w:szCs w:val="20"/>
        </w:rPr>
        <w:t xml:space="preserve">Cuál será nuestra posición ética si la </w:t>
      </w:r>
      <w:proofErr w:type="spellStart"/>
      <w:r w:rsidRPr="003B70DE">
        <w:rPr>
          <w:rFonts w:ascii="Arial" w:hAnsi="Arial" w:cs="Arial"/>
          <w:color w:val="FF0066"/>
          <w:sz w:val="20"/>
          <w:szCs w:val="20"/>
        </w:rPr>
        <w:t>resilencia</w:t>
      </w:r>
      <w:proofErr w:type="spellEnd"/>
      <w:r w:rsidRPr="003B70DE">
        <w:rPr>
          <w:rFonts w:ascii="Arial" w:hAnsi="Arial" w:cs="Arial"/>
          <w:color w:val="FF0066"/>
          <w:sz w:val="20"/>
          <w:szCs w:val="20"/>
        </w:rPr>
        <w:t xml:space="preserve"> conduce a una sobrevivencia por medios ilegales: por ejemplo roba</w:t>
      </w:r>
      <w:r>
        <w:rPr>
          <w:rFonts w:ascii="Arial" w:hAnsi="Arial" w:cs="Arial"/>
          <w:color w:val="FF0066"/>
          <w:sz w:val="20"/>
          <w:szCs w:val="20"/>
        </w:rPr>
        <w:t>r</w:t>
      </w:r>
      <w:r w:rsidRPr="003B70DE">
        <w:rPr>
          <w:rFonts w:ascii="Arial" w:hAnsi="Arial" w:cs="Arial"/>
          <w:color w:val="FF0066"/>
          <w:sz w:val="20"/>
          <w:szCs w:val="20"/>
        </w:rPr>
        <w:t xml:space="preserve"> o vender drogas</w:t>
      </w:r>
      <w:proofErr w:type="gramStart"/>
      <w:r w:rsidRPr="003B70DE">
        <w:rPr>
          <w:rFonts w:ascii="Arial" w:hAnsi="Arial" w:cs="Arial"/>
          <w:color w:val="FF0066"/>
          <w:sz w:val="20"/>
          <w:szCs w:val="20"/>
        </w:rPr>
        <w:t>?</w:t>
      </w:r>
      <w:proofErr w:type="gramEnd"/>
    </w:p>
    <w:p w:rsidR="003B70DE" w:rsidRPr="003B70DE" w:rsidRDefault="003B70DE" w:rsidP="003B70DE">
      <w:pPr>
        <w:pStyle w:val="NormalWeb"/>
        <w:numPr>
          <w:ilvl w:val="0"/>
          <w:numId w:val="2"/>
        </w:numPr>
        <w:spacing w:before="120" w:beforeAutospacing="0"/>
        <w:jc w:val="both"/>
        <w:rPr>
          <w:color w:val="FF0066"/>
        </w:rPr>
      </w:pPr>
      <w:r w:rsidRPr="003B70DE">
        <w:rPr>
          <w:rFonts w:ascii="Arial" w:hAnsi="Arial" w:cs="Arial"/>
          <w:color w:val="FF0066"/>
          <w:sz w:val="20"/>
          <w:szCs w:val="20"/>
        </w:rPr>
        <w:t xml:space="preserve">Desarrollo humano y social o enfoque de </w:t>
      </w:r>
      <w:proofErr w:type="spellStart"/>
      <w:r w:rsidRPr="003B70DE">
        <w:rPr>
          <w:rFonts w:ascii="Arial" w:hAnsi="Arial" w:cs="Arial"/>
          <w:color w:val="FF0066"/>
          <w:sz w:val="20"/>
          <w:szCs w:val="20"/>
        </w:rPr>
        <w:t>resilencia</w:t>
      </w:r>
      <w:proofErr w:type="spellEnd"/>
      <w:r w:rsidRPr="003B70DE">
        <w:rPr>
          <w:rFonts w:ascii="Arial" w:hAnsi="Arial" w:cs="Arial"/>
          <w:color w:val="FF0066"/>
          <w:sz w:val="20"/>
          <w:szCs w:val="20"/>
        </w:rPr>
        <w:t>?</w:t>
      </w:r>
    </w:p>
    <w:sectPr w:rsidR="003B70DE" w:rsidRPr="003B70DE" w:rsidSect="00E54F98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DA" w:rsidRDefault="005101DA" w:rsidP="00E54F98">
      <w:pPr>
        <w:spacing w:after="0" w:line="240" w:lineRule="auto"/>
      </w:pPr>
      <w:r>
        <w:separator/>
      </w:r>
    </w:p>
  </w:endnote>
  <w:endnote w:type="continuationSeparator" w:id="0">
    <w:p w:rsidR="005101DA" w:rsidRDefault="005101DA" w:rsidP="00E5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DA" w:rsidRDefault="005101DA" w:rsidP="00E54F98">
      <w:pPr>
        <w:spacing w:after="0" w:line="240" w:lineRule="auto"/>
      </w:pPr>
      <w:r>
        <w:separator/>
      </w:r>
    </w:p>
  </w:footnote>
  <w:footnote w:type="continuationSeparator" w:id="0">
    <w:p w:rsidR="005101DA" w:rsidRDefault="005101DA" w:rsidP="00E5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703717"/>
      <w:docPartObj>
        <w:docPartGallery w:val="Page Numbers (Margins)"/>
        <w:docPartUnique/>
      </w:docPartObj>
    </w:sdtPr>
    <w:sdtEndPr/>
    <w:sdtContent>
      <w:p w:rsidR="00E54F98" w:rsidRDefault="00E54F98">
        <w:pPr>
          <w:pStyle w:val="Encabezad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EB9CF2" wp14:editId="31F0EE5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F98" w:rsidRDefault="00E54F98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B70DE" w:rsidRPr="003B70DE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FT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B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DjLDFTcAIAANsEAAAOAAAAAAAAAAAAAAAAAC4C&#10;AABkcnMvZTJvRG9jLnhtbFBLAQItABQABgAIAAAAIQDssEif2AAAAAMBAAAPAAAAAAAAAAAAAAAA&#10;AMoEAABkcnMvZG93bnJldi54bWxQSwUGAAAAAAQABADzAAAAzwUAAAAA&#10;" o:allowincell="f" fillcolor="#9dbb61" stroked="f">
                  <v:textbox inset="0,,0">
                    <w:txbxContent>
                      <w:p w:rsidR="00E54F98" w:rsidRDefault="00E54F98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B70DE" w:rsidRPr="003B70DE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3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7360"/>
    <w:multiLevelType w:val="multilevel"/>
    <w:tmpl w:val="085A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0229E"/>
    <w:multiLevelType w:val="hybridMultilevel"/>
    <w:tmpl w:val="BD1A1C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98"/>
    <w:rsid w:val="003B70DE"/>
    <w:rsid w:val="005101DA"/>
    <w:rsid w:val="006A2E08"/>
    <w:rsid w:val="00B95BBC"/>
    <w:rsid w:val="00E5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4F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nhideWhenUsed/>
    <w:rsid w:val="00E54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F98"/>
  </w:style>
  <w:style w:type="paragraph" w:styleId="Piedepgina">
    <w:name w:val="footer"/>
    <w:basedOn w:val="Normal"/>
    <w:link w:val="PiedepginaCar"/>
    <w:uiPriority w:val="99"/>
    <w:unhideWhenUsed/>
    <w:rsid w:val="00E54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F98"/>
  </w:style>
  <w:style w:type="character" w:styleId="Nmerodepgina">
    <w:name w:val="page number"/>
    <w:basedOn w:val="Fuentedeprrafopredeter"/>
    <w:uiPriority w:val="99"/>
    <w:unhideWhenUsed/>
    <w:rsid w:val="00E54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4F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nhideWhenUsed/>
    <w:rsid w:val="00E54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F98"/>
  </w:style>
  <w:style w:type="paragraph" w:styleId="Piedepgina">
    <w:name w:val="footer"/>
    <w:basedOn w:val="Normal"/>
    <w:link w:val="PiedepginaCar"/>
    <w:uiPriority w:val="99"/>
    <w:unhideWhenUsed/>
    <w:rsid w:val="00E54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F98"/>
  </w:style>
  <w:style w:type="character" w:styleId="Nmerodepgina">
    <w:name w:val="page number"/>
    <w:basedOn w:val="Fuentedeprrafopredeter"/>
    <w:uiPriority w:val="99"/>
    <w:unhideWhenUsed/>
    <w:rsid w:val="00E5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asss.sa.cr/adolescencia/RESILENCI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2012-07-03T03:06:00Z</dcterms:created>
  <dcterms:modified xsi:type="dcterms:W3CDTF">2012-07-03T03:06:00Z</dcterms:modified>
</cp:coreProperties>
</file>